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FA283" w14:textId="0D5A1BDF" w:rsidR="00217207" w:rsidRPr="00E472AC" w:rsidRDefault="00217207" w:rsidP="00217207">
      <w:pPr>
        <w:tabs>
          <w:tab w:val="center" w:pos="4536"/>
          <w:tab w:val="right" w:pos="8280"/>
          <w:tab w:val="right" w:pos="9639"/>
        </w:tabs>
        <w:spacing w:after="0"/>
        <w:ind w:right="2"/>
        <w:rPr>
          <w:rFonts w:ascii="Arial" w:hAnsi="Arial" w:cs="Arial"/>
          <w:b/>
          <w:bCs/>
        </w:rPr>
      </w:pPr>
      <w:bookmarkStart w:id="0" w:name="_GoBack"/>
      <w:bookmarkEnd w:id="0"/>
      <w:r w:rsidRPr="00217207">
        <w:rPr>
          <w:rFonts w:ascii="Arial" w:hAnsi="Arial" w:cs="Arial"/>
          <w:b/>
          <w:bCs/>
        </w:rPr>
        <w:t>3GPP TSG RAN WG1 Meeting #92</w:t>
      </w:r>
      <w:r w:rsidRPr="00217207">
        <w:rPr>
          <w:rFonts w:ascii="Arial" w:hAnsi="Arial" w:cs="Arial"/>
          <w:b/>
          <w:bCs/>
        </w:rPr>
        <w:tab/>
      </w:r>
      <w:r w:rsidRPr="00217207">
        <w:rPr>
          <w:rFonts w:ascii="Arial" w:hAnsi="Arial" w:cs="Arial"/>
          <w:b/>
          <w:bCs/>
        </w:rPr>
        <w:tab/>
      </w:r>
      <w:r w:rsidRPr="00217207">
        <w:rPr>
          <w:rFonts w:ascii="Arial" w:hAnsi="Arial" w:cs="Arial"/>
          <w:b/>
          <w:bCs/>
        </w:rPr>
        <w:tab/>
      </w:r>
      <w:r w:rsidR="00E472AC" w:rsidRPr="00E472AC">
        <w:rPr>
          <w:rFonts w:ascii="Arial" w:hAnsi="Arial" w:cs="Arial"/>
          <w:b/>
          <w:bCs/>
        </w:rPr>
        <w:t>R1-1802739</w:t>
      </w:r>
    </w:p>
    <w:p w14:paraId="2F6A50A3" w14:textId="77777777" w:rsidR="00217207" w:rsidRPr="00217207" w:rsidRDefault="00217207" w:rsidP="00217207">
      <w:pPr>
        <w:tabs>
          <w:tab w:val="center" w:pos="4536"/>
          <w:tab w:val="right" w:pos="9072"/>
        </w:tabs>
        <w:spacing w:after="0"/>
        <w:rPr>
          <w:rFonts w:ascii="Arial" w:eastAsia="MS Mincho" w:hAnsi="Arial" w:cs="Arial"/>
          <w:b/>
          <w:bCs/>
          <w:lang w:eastAsia="ja-JP"/>
        </w:rPr>
      </w:pPr>
      <w:r w:rsidRPr="00217207">
        <w:rPr>
          <w:rFonts w:ascii="Arial" w:eastAsia="MS Mincho" w:hAnsi="Arial" w:cs="Arial"/>
          <w:b/>
          <w:bCs/>
          <w:lang w:eastAsia="ja-JP"/>
        </w:rPr>
        <w:t>Athens, Greece, February 26</w:t>
      </w:r>
      <w:r w:rsidRPr="00217207">
        <w:rPr>
          <w:rFonts w:ascii="Arial" w:eastAsia="MS Mincho" w:hAnsi="Arial" w:cs="Arial"/>
          <w:b/>
          <w:bCs/>
          <w:vertAlign w:val="superscript"/>
          <w:lang w:eastAsia="ja-JP"/>
        </w:rPr>
        <w:t>th</w:t>
      </w:r>
      <w:r w:rsidRPr="00217207">
        <w:rPr>
          <w:rFonts w:ascii="Arial" w:eastAsia="MS Mincho" w:hAnsi="Arial" w:cs="Arial"/>
          <w:b/>
          <w:bCs/>
          <w:lang w:eastAsia="ja-JP"/>
        </w:rPr>
        <w:t xml:space="preserve"> – March 2</w:t>
      </w:r>
      <w:r w:rsidRPr="00217207">
        <w:rPr>
          <w:rFonts w:ascii="Arial" w:eastAsia="MS Mincho" w:hAnsi="Arial" w:cs="Arial"/>
          <w:b/>
          <w:bCs/>
          <w:vertAlign w:val="superscript"/>
          <w:lang w:eastAsia="ja-JP"/>
        </w:rPr>
        <w:t>nd</w:t>
      </w:r>
      <w:r w:rsidRPr="00217207">
        <w:rPr>
          <w:rFonts w:ascii="Arial" w:eastAsia="MS Mincho" w:hAnsi="Arial" w:cs="Arial"/>
          <w:b/>
          <w:bCs/>
          <w:lang w:eastAsia="ja-JP"/>
        </w:rPr>
        <w:t xml:space="preserve">, 2018 </w:t>
      </w:r>
    </w:p>
    <w:p w14:paraId="185ECFD2" w14:textId="77777777" w:rsidR="00904CFD" w:rsidRPr="00CE0424"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7D72F1BF" w:rsidR="00904CFD" w:rsidRPr="00327997" w:rsidRDefault="00904CFD" w:rsidP="00904CFD">
      <w:pPr>
        <w:pStyle w:val="3GPPHeader"/>
      </w:pPr>
      <w:r w:rsidRPr="00327997">
        <w:t>Title:</w:t>
      </w:r>
      <w:r w:rsidRPr="00327997">
        <w:tab/>
      </w:r>
      <w:r w:rsidR="00910736">
        <w:t>Extension of PRB bundling for DL</w:t>
      </w:r>
    </w:p>
    <w:p w14:paraId="00EFAC0D" w14:textId="32C5B30E" w:rsidR="00904CFD" w:rsidRPr="00327997" w:rsidRDefault="00904CFD" w:rsidP="00904CFD">
      <w:pPr>
        <w:pStyle w:val="3GPPHeader"/>
      </w:pPr>
      <w:r w:rsidRPr="00327997">
        <w:t>Agenda Item:</w:t>
      </w:r>
      <w:r w:rsidRPr="00327997">
        <w:tab/>
      </w:r>
      <w:r w:rsidRPr="009E581A">
        <w:t>7.</w:t>
      </w:r>
      <w:r w:rsidR="00217207">
        <w:t>1.</w:t>
      </w:r>
      <w:r w:rsidRPr="009E581A">
        <w:t>2.</w:t>
      </w:r>
      <w:r w:rsidR="00910736">
        <w:t>1.4</w:t>
      </w:r>
      <w:r w:rsidR="003A2161">
        <w:t xml:space="preserve"> </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0748FD5D" w14:textId="300D707E" w:rsidR="008D10E2" w:rsidRDefault="008D10E2" w:rsidP="00BF7642">
      <w:pPr>
        <w:pStyle w:val="BodyText"/>
      </w:pPr>
      <w:r w:rsidRPr="0036514D">
        <w:t xml:space="preserve">In this contribution, we discuss </w:t>
      </w:r>
      <w:r w:rsidR="008C2913">
        <w:t>a minor correctio</w:t>
      </w:r>
      <w:r w:rsidR="009E581A">
        <w:t>s of</w:t>
      </w:r>
      <w:r>
        <w:t xml:space="preserve"> </w:t>
      </w:r>
      <w:r w:rsidRPr="0036514D">
        <w:t>aspects related</w:t>
      </w:r>
      <w:r w:rsidR="008C2913">
        <w:t xml:space="preserve"> to data scrambling</w:t>
      </w:r>
      <w:r>
        <w:t xml:space="preserve">. </w:t>
      </w:r>
      <w:r w:rsidR="009E581A">
        <w:t>The corrections and proposals are based on</w:t>
      </w:r>
      <w:r>
        <w:t xml:space="preserve"> the latest version of TS</w:t>
      </w:r>
      <w:r w:rsidR="009E581A">
        <w:t xml:space="preserve"> </w:t>
      </w:r>
      <w:r>
        <w:t>38</w:t>
      </w:r>
      <w:r w:rsidR="009E581A">
        <w:t>.</w:t>
      </w:r>
      <w:r>
        <w:t xml:space="preserve">211. </w:t>
      </w:r>
    </w:p>
    <w:p w14:paraId="57CEEB99" w14:textId="4F22848E" w:rsidR="008671BE" w:rsidRDefault="008671BE" w:rsidP="008671BE">
      <w:pPr>
        <w:pStyle w:val="Heading1"/>
      </w:pPr>
      <w:r>
        <w:t>Channel estimation across slots</w:t>
      </w:r>
    </w:p>
    <w:p w14:paraId="0111AA83" w14:textId="77777777" w:rsidR="0017125A" w:rsidRDefault="008671BE" w:rsidP="008671BE">
      <w:pPr>
        <w:rPr>
          <w:color w:val="000000"/>
        </w:rPr>
      </w:pPr>
      <w:r>
        <w:t xml:space="preserve">In case PDSCH repetition is used by the RRC parameter </w:t>
      </w:r>
      <w:r w:rsidRPr="00C62C5E">
        <w:rPr>
          <w:i/>
          <w:color w:val="000000"/>
        </w:rPr>
        <w:t>aggregation-factor-DL</w:t>
      </w:r>
      <w:r>
        <w:rPr>
          <w:i/>
          <w:color w:val="000000"/>
        </w:rPr>
        <w:t xml:space="preserve">, </w:t>
      </w:r>
      <w:r>
        <w:rPr>
          <w:color w:val="000000"/>
        </w:rPr>
        <w:t>then it is also beneficial to utilize the channel estimates from more than one slot. This</w:t>
      </w:r>
      <w:r w:rsidR="00533E26">
        <w:rPr>
          <w:color w:val="000000"/>
        </w:rPr>
        <w:t xml:space="preserve"> resembles channel tracking in LTE where CRS is used</w:t>
      </w:r>
      <w:r w:rsidR="0017125A">
        <w:rPr>
          <w:color w:val="000000"/>
        </w:rPr>
        <w:t xml:space="preserve"> from subframe to subframe to track the channel</w:t>
      </w:r>
      <w:r w:rsidR="00533E26">
        <w:rPr>
          <w:color w:val="000000"/>
        </w:rPr>
        <w:t xml:space="preserve">. In NR, as there are no fallback to using CRS, there must be a mechanism to </w:t>
      </w:r>
      <w:r w:rsidR="0017125A">
        <w:rPr>
          <w:color w:val="000000"/>
        </w:rPr>
        <w:t>achieve</w:t>
      </w:r>
      <w:r w:rsidR="00533E26">
        <w:rPr>
          <w:color w:val="000000"/>
        </w:rPr>
        <w:t xml:space="preserve"> reliable channel estimates for DMRS as we</w:t>
      </w:r>
      <w:r w:rsidR="0017125A">
        <w:rPr>
          <w:color w:val="000000"/>
        </w:rPr>
        <w:t>ll</w:t>
      </w:r>
      <w:r w:rsidR="00533E26">
        <w:rPr>
          <w:color w:val="000000"/>
        </w:rPr>
        <w:t xml:space="preserve">, utilizing </w:t>
      </w:r>
      <w:r w:rsidR="0017125A">
        <w:rPr>
          <w:color w:val="000000"/>
        </w:rPr>
        <w:t xml:space="preserve">DMRS based </w:t>
      </w:r>
      <w:r w:rsidR="00533E26">
        <w:rPr>
          <w:color w:val="000000"/>
        </w:rPr>
        <w:t xml:space="preserve">channel tracking. </w:t>
      </w:r>
    </w:p>
    <w:p w14:paraId="7A4413B3" w14:textId="68BD58B3" w:rsidR="008671BE" w:rsidRPr="008671BE" w:rsidRDefault="00533E26" w:rsidP="008671BE">
      <w:r>
        <w:rPr>
          <w:color w:val="000000"/>
        </w:rPr>
        <w:t xml:space="preserve">Hence, the UE can, if </w:t>
      </w:r>
      <w:r w:rsidR="0017125A">
        <w:rPr>
          <w:color w:val="000000"/>
        </w:rPr>
        <w:t>the implementation support it</w:t>
      </w:r>
      <w:r>
        <w:rPr>
          <w:color w:val="000000"/>
        </w:rPr>
        <w:t xml:space="preserve">, re-use the already estimated channel from the previous slot as a priori information when performing channel estimation for the next slot. </w:t>
      </w:r>
      <w:r w:rsidR="00E1043D">
        <w:rPr>
          <w:color w:val="000000"/>
        </w:rPr>
        <w:t xml:space="preserve">Note that the UE can </w:t>
      </w:r>
      <w:r w:rsidR="00142C7F">
        <w:rPr>
          <w:color w:val="000000"/>
        </w:rPr>
        <w:t>perform decoding of</w:t>
      </w:r>
      <w:r w:rsidR="00E1043D">
        <w:rPr>
          <w:color w:val="000000"/>
        </w:rPr>
        <w:t xml:space="preserve"> the message already after the first slot using only the channel estimate of the first slot and in this m</w:t>
      </w:r>
      <w:r w:rsidR="00142C7F">
        <w:rPr>
          <w:color w:val="000000"/>
        </w:rPr>
        <w:t>anner, the</w:t>
      </w:r>
      <w:r w:rsidR="00E1043D">
        <w:rPr>
          <w:color w:val="000000"/>
        </w:rPr>
        <w:t xml:space="preserve"> channel estimation SNR is expected to increase for each repeated slot. </w:t>
      </w:r>
      <w:r w:rsidR="00142C7F">
        <w:rPr>
          <w:color w:val="000000"/>
        </w:rPr>
        <w:t xml:space="preserve">An optimal receiver would instead buffer all the slots before starting the decoding, but that would increase UE complexity and latency. </w:t>
      </w:r>
    </w:p>
    <w:p w14:paraId="75B36CE4" w14:textId="6A1563F2" w:rsidR="008671BE" w:rsidRDefault="008671BE" w:rsidP="008671BE"/>
    <w:p w14:paraId="51A82490" w14:textId="3B4AD3A9" w:rsidR="008671BE" w:rsidRDefault="008671BE" w:rsidP="008671BE">
      <w:pPr>
        <w:jc w:val="center"/>
      </w:pPr>
      <w:r>
        <w:rPr>
          <w:noProof/>
        </w:rPr>
        <w:drawing>
          <wp:inline distT="0" distB="0" distL="0" distR="0" wp14:anchorId="386E0EB8" wp14:editId="3FA99845">
            <wp:extent cx="4421824" cy="21724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2450" cy="2172797"/>
                    </a:xfrm>
                    <a:prstGeom prst="rect">
                      <a:avLst/>
                    </a:prstGeom>
                    <a:noFill/>
                  </pic:spPr>
                </pic:pic>
              </a:graphicData>
            </a:graphic>
          </wp:inline>
        </w:drawing>
      </w:r>
    </w:p>
    <w:p w14:paraId="392CC172" w14:textId="47768F20" w:rsidR="008671BE" w:rsidRPr="008671BE" w:rsidRDefault="008671BE" w:rsidP="008671BE">
      <w:pPr>
        <w:pStyle w:val="Heading1"/>
      </w:pPr>
      <w:r w:rsidRPr="008671BE">
        <w:t>Extension of PRG defin</w:t>
      </w:r>
      <w:r>
        <w:t>i</w:t>
      </w:r>
      <w:r w:rsidRPr="008671BE">
        <w:t>tion</w:t>
      </w:r>
    </w:p>
    <w:p w14:paraId="1E1306D6" w14:textId="4756D95E" w:rsidR="00F84853" w:rsidRDefault="00F84853" w:rsidP="00F84853">
      <w:bookmarkStart w:id="1" w:name="_Toc503266417"/>
      <w:bookmarkEnd w:id="1"/>
      <w:r>
        <w:t>In TS 38.214</w:t>
      </w:r>
      <w:r w:rsidR="00EB1EAA">
        <w:t xml:space="preserve">, the </w:t>
      </w:r>
      <w:r>
        <w:t xml:space="preserve">PRB bundling is described in frequency domain only, although </w:t>
      </w:r>
      <w:r w:rsidR="00A734C7">
        <w:t xml:space="preserve">TB </w:t>
      </w:r>
      <w:r>
        <w:t>repetition</w:t>
      </w:r>
      <w:r w:rsidR="0076732C">
        <w:t xml:space="preserve"> across 2,4 or 8 slots</w:t>
      </w:r>
      <w:r>
        <w:t xml:space="preserve"> is supported. It is beneficial for channel estimation if the PRB bundling can also extends across </w:t>
      </w:r>
      <w:r w:rsidR="0076732C">
        <w:t xml:space="preserve">these </w:t>
      </w:r>
      <w:r>
        <w:t xml:space="preserve">slots so that the UE can, if desired, utilize the DMRS channel estimates from multiple slots to enhance the estimates. On the other hand, there are cases where the gNB would like to change the precoder from slot to slot in order to maximize the spatial diversity gain, if the CSI is not accurate, e.g. polarization co-phasing information is outdated. </w:t>
      </w:r>
    </w:p>
    <w:p w14:paraId="5AF9FA2F" w14:textId="44ABEE39" w:rsidR="00F84853" w:rsidRDefault="00F84853" w:rsidP="00F84853">
      <w:r>
        <w:t xml:space="preserve">Whether precoder cycling over time is used depends on the CSI availability at the gNB and thus need to change dynamically. </w:t>
      </w:r>
    </w:p>
    <w:p w14:paraId="382B3478" w14:textId="77777777" w:rsidR="008671BE" w:rsidRDefault="008671BE" w:rsidP="00F84853"/>
    <w:p w14:paraId="45E7D2FA" w14:textId="77777777" w:rsidR="008671BE" w:rsidRDefault="008671BE" w:rsidP="00F84853"/>
    <w:p w14:paraId="2AC41465" w14:textId="77777777" w:rsidR="008671BE" w:rsidRDefault="008671BE" w:rsidP="00F84853"/>
    <w:p w14:paraId="7C7E457C" w14:textId="3A56B0A9" w:rsidR="00F84853" w:rsidRDefault="00F84853" w:rsidP="00F84853">
      <w:r>
        <w:t>Therefore, we propose to extend the concept of a “PRG” to also cover the time domain. A PRG is thus extended from {2,4,</w:t>
      </w:r>
      <w:r w:rsidRPr="008D056F">
        <w:rPr>
          <w:rFonts w:asciiTheme="majorHAnsi" w:hAnsiTheme="majorHAnsi"/>
          <w:lang w:val="en-US"/>
        </w:rPr>
        <w:t xml:space="preserve"> </w:t>
      </w:r>
      <w:r>
        <w:rPr>
          <w:rFonts w:asciiTheme="majorHAnsi" w:hAnsiTheme="majorHAnsi"/>
          <w:lang w:val="en-US"/>
        </w:rPr>
        <w:t>scheduled BW</w:t>
      </w:r>
      <w:r>
        <w:t xml:space="preserve">} RB in frequency to also include </w:t>
      </w:r>
      <w:r w:rsidR="0076732C">
        <w:t>{1,2,4,8}</w:t>
      </w:r>
      <w:r>
        <w:t xml:space="preserve"> slots in time domain.</w:t>
      </w:r>
    </w:p>
    <w:p w14:paraId="42FFD0FD" w14:textId="5A38DA05" w:rsidR="00F84853" w:rsidRDefault="00F84853" w:rsidP="00F84853">
      <w:pPr>
        <w:pStyle w:val="Proposal"/>
      </w:pPr>
      <w:r>
        <w:t>Extend the definition of a PRG to also include the time domain</w:t>
      </w:r>
      <w:r w:rsidR="0076732C">
        <w:t xml:space="preserve"> across {1,2,4,8} slots</w:t>
      </w:r>
      <w:r>
        <w:t>.</w:t>
      </w:r>
    </w:p>
    <w:p w14:paraId="007A4C2B" w14:textId="37352348" w:rsidR="00F84853" w:rsidRDefault="00F84853" w:rsidP="00DB7696">
      <w:pPr>
        <w:rPr>
          <w:color w:val="000000"/>
        </w:rPr>
      </w:pPr>
      <w:r>
        <w:rPr>
          <w:lang w:val="en-US"/>
        </w:rPr>
        <w:t xml:space="preserve">If Proposal 1 is adopted, the specification impact is </w:t>
      </w:r>
      <w:r w:rsidR="00B83B9B">
        <w:rPr>
          <w:lang w:val="en-US"/>
        </w:rPr>
        <w:t>limited to extending the</w:t>
      </w:r>
      <w:r w:rsidR="00FB0EC0">
        <w:rPr>
          <w:lang w:val="en-US"/>
        </w:rPr>
        <w:t xml:space="preserve"> higher layer</w:t>
      </w:r>
      <w:r w:rsidR="00B83B9B">
        <w:rPr>
          <w:lang w:val="en-US"/>
        </w:rPr>
        <w:t xml:space="preserve"> parameter </w:t>
      </w:r>
      <w:r w:rsidR="00B83B9B" w:rsidRPr="0048482F">
        <w:rPr>
          <w:i/>
          <w:color w:val="000000"/>
        </w:rPr>
        <w:t>pdsch-BundleSize</w:t>
      </w:r>
      <w:r w:rsidR="00B83B9B">
        <w:rPr>
          <w:i/>
          <w:color w:val="000000"/>
        </w:rPr>
        <w:t xml:space="preserve"> </w:t>
      </w:r>
      <w:r w:rsidR="00B83B9B">
        <w:rPr>
          <w:color w:val="000000"/>
        </w:rPr>
        <w:t xml:space="preserve">to also </w:t>
      </w:r>
      <w:r w:rsidR="0076732C">
        <w:rPr>
          <w:color w:val="000000"/>
        </w:rPr>
        <w:t>include the number of slots.</w:t>
      </w:r>
      <w:r w:rsidR="00B83B9B">
        <w:rPr>
          <w:color w:val="000000"/>
        </w:rPr>
        <w:t xml:space="preserve"> </w:t>
      </w:r>
    </w:p>
    <w:p w14:paraId="10FC9230" w14:textId="39E866ED" w:rsidR="000E0472" w:rsidRDefault="000E0472" w:rsidP="000E0472">
      <w:pPr>
        <w:pStyle w:val="Proposal"/>
      </w:pPr>
      <w:r w:rsidRPr="00354010">
        <w:t xml:space="preserve">Make the following </w:t>
      </w:r>
      <w:r>
        <w:rPr>
          <w:color w:val="FF0000"/>
          <w:u w:val="single"/>
        </w:rPr>
        <w:t xml:space="preserve">extensions </w:t>
      </w:r>
      <w:r>
        <w:t>in TS 382,14 section 5.1.2.3</w:t>
      </w:r>
      <w:r w:rsidRPr="00354010">
        <w:t xml:space="preserve"> in </w:t>
      </w:r>
      <w:r>
        <w:t>38.214 and inform RAN2 about the associated update to the RRC parameter signalling</w:t>
      </w:r>
      <w:r w:rsidRPr="00354010">
        <w:t>:</w:t>
      </w:r>
    </w:p>
    <w:p w14:paraId="4480FDAD" w14:textId="77777777" w:rsidR="000E0472" w:rsidRDefault="000E0472" w:rsidP="000E0472">
      <w:r w:rsidRPr="00354010">
        <w:rPr>
          <w:highlight w:val="yellow"/>
        </w:rPr>
        <w:t>&gt;&gt;&gt;&gt;&gt;&gt;&gt;&gt;&gt;&gt;&gt;&gt; Start text proposal &gt;&gt;&gt;&gt;&gt;&gt;&gt;&gt;&gt;&gt;&gt;&gt;</w:t>
      </w:r>
    </w:p>
    <w:p w14:paraId="7CAECE89" w14:textId="77803BFD" w:rsidR="000403A0" w:rsidRDefault="000403A0" w:rsidP="00DB7696">
      <w:pPr>
        <w:rPr>
          <w:color w:val="000000"/>
        </w:rPr>
      </w:pPr>
    </w:p>
    <w:p w14:paraId="183769E6" w14:textId="69684F86" w:rsidR="000403A0" w:rsidRPr="0048482F" w:rsidRDefault="000403A0" w:rsidP="000403A0">
      <w:pPr>
        <w:rPr>
          <w:color w:val="000000"/>
        </w:rPr>
      </w:pPr>
      <w:r w:rsidRPr="0048482F">
        <w:rPr>
          <w:color w:val="000000"/>
        </w:rPr>
        <w:t>A UE may assume that precoding granularity is multiple resource blocks in the frequency domain</w:t>
      </w:r>
      <w:r>
        <w:rPr>
          <w:color w:val="000000"/>
        </w:rPr>
        <w:t xml:space="preserve"> and one or multiple slots in time domain</w:t>
      </w:r>
      <w:r w:rsidRPr="0048482F">
        <w:rPr>
          <w:color w:val="000000"/>
        </w:rPr>
        <w:t xml:space="preserve">. </w:t>
      </w:r>
    </w:p>
    <w:p w14:paraId="20E651AE" w14:textId="27E1A90E" w:rsidR="000403A0" w:rsidRPr="0048482F" w:rsidRDefault="000403A0" w:rsidP="000403A0">
      <w:pPr>
        <w:rPr>
          <w:color w:val="000000"/>
        </w:rPr>
      </w:pPr>
      <w:r>
        <w:rPr>
          <w:color w:val="000000"/>
        </w:rPr>
        <w:t>In frequency domain, p</w:t>
      </w:r>
      <w:r w:rsidRPr="0048482F">
        <w:rPr>
          <w:color w:val="000000"/>
        </w:rPr>
        <w:t xml:space="preserve">recoding Resource Block Group (PRGs) of size </w:t>
      </w:r>
      <w:r w:rsidRPr="0048482F">
        <w:rPr>
          <w:color w:val="000000"/>
          <w:position w:val="-10"/>
        </w:rPr>
        <w:object w:dxaOrig="560" w:dyaOrig="300" w14:anchorId="5F279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pt" o:ole="">
            <v:imagedata r:id="rId14" o:title=""/>
          </v:shape>
          <o:OLEObject Type="Embed" ProgID="Equation.3" ShapeID="_x0000_i1025" DrawAspect="Content" ObjectID="_1580280380" r:id="rId15"/>
        </w:object>
      </w:r>
      <w:r w:rsidRPr="0048482F">
        <w:rPr>
          <w:color w:val="000000"/>
        </w:rPr>
        <w:t xml:space="preserve">partition the carrier bandwidth part </w:t>
      </w:r>
      <w:r w:rsidRPr="0048482F">
        <w:rPr>
          <w:i/>
          <w:color w:val="000000"/>
        </w:rPr>
        <w:t>i</w:t>
      </w:r>
      <w:r w:rsidRPr="0048482F">
        <w:rPr>
          <w:color w:val="000000"/>
        </w:rPr>
        <w:t xml:space="preserve"> and each PRG consists of consecutive PRBs, which can be one of the values among {2, 4, scheduled bandwidth}. </w:t>
      </w:r>
    </w:p>
    <w:p w14:paraId="3ED851BC" w14:textId="6848BE7F" w:rsidR="000403A0" w:rsidRPr="0048482F" w:rsidRDefault="000403A0" w:rsidP="000403A0">
      <w:pPr>
        <w:rPr>
          <w:color w:val="000000"/>
        </w:rPr>
      </w:pPr>
      <w:r w:rsidRPr="0048482F">
        <w:rPr>
          <w:color w:val="000000"/>
        </w:rPr>
        <w:t>If a UE is configured with PRG of “scheduled BW”, the UE is not expected to be scheduled with non-contiguous resource allocation.</w:t>
      </w:r>
    </w:p>
    <w:p w14:paraId="0BC464C1" w14:textId="77777777" w:rsidR="000403A0" w:rsidRPr="0048482F" w:rsidRDefault="000403A0" w:rsidP="000403A0">
      <w:pPr>
        <w:rPr>
          <w:color w:val="000000"/>
        </w:rPr>
      </w:pPr>
      <w:r w:rsidRPr="0048482F">
        <w:rPr>
          <w:color w:val="000000"/>
        </w:rPr>
        <w:t xml:space="preserve">The PRG for each carrier bandwidth part is configured by the higher layer parameter </w:t>
      </w:r>
      <w:r w:rsidRPr="0048482F">
        <w:rPr>
          <w:i/>
          <w:color w:val="000000"/>
        </w:rPr>
        <w:t>prbBundling</w:t>
      </w:r>
      <w:r w:rsidRPr="0048482F">
        <w:rPr>
          <w:color w:val="000000"/>
        </w:rPr>
        <w:t xml:space="preserve"> and </w:t>
      </w:r>
      <w:r w:rsidRPr="0048482F">
        <w:rPr>
          <w:i/>
          <w:color w:val="000000"/>
        </w:rPr>
        <w:t>pdsch-BundleSsize</w:t>
      </w:r>
      <w:r w:rsidRPr="0048482F">
        <w:rPr>
          <w:color w:val="000000"/>
        </w:rPr>
        <w:t>, otherwise the PRG size is equal to 2 PRBs.</w:t>
      </w:r>
    </w:p>
    <w:p w14:paraId="0859F039" w14:textId="17E98748" w:rsidR="000403A0" w:rsidRPr="0048482F" w:rsidRDefault="000403A0" w:rsidP="000403A0">
      <w:pPr>
        <w:rPr>
          <w:color w:val="000000"/>
        </w:rPr>
      </w:pPr>
      <w:r w:rsidRPr="0048482F">
        <w:rPr>
          <w:color w:val="000000"/>
        </w:rPr>
        <w:t>The first PRG size</w:t>
      </w:r>
      <w:r w:rsidR="000E0472">
        <w:rPr>
          <w:color w:val="000000"/>
        </w:rPr>
        <w:t xml:space="preserve"> in frequency domain</w:t>
      </w:r>
      <w:r w:rsidRPr="0048482F">
        <w:rPr>
          <w:color w:val="000000"/>
        </w:rPr>
        <w:t xml:space="preserve"> is given by </w:t>
      </w:r>
      <w:r w:rsidRPr="0048482F">
        <w:rPr>
          <w:color w:val="000000"/>
          <w:position w:val="-12"/>
        </w:rPr>
        <w:object w:dxaOrig="2120" w:dyaOrig="360" w14:anchorId="0D91DDE6">
          <v:shape id="_x0000_i1026" type="#_x0000_t75" style="width:105pt;height:18.75pt" o:ole="">
            <v:imagedata r:id="rId16" o:title=""/>
          </v:shape>
          <o:OLEObject Type="Embed" ProgID="Equation.3" ShapeID="_x0000_i1026" DrawAspect="Content" ObjectID="_1580280381" r:id="rId17"/>
        </w:object>
      </w:r>
      <w:r w:rsidRPr="0048482F">
        <w:rPr>
          <w:color w:val="000000"/>
        </w:rPr>
        <w:t xml:space="preserve">and the last PRG size given by </w:t>
      </w:r>
      <w:r w:rsidRPr="0048482F">
        <w:rPr>
          <w:color w:val="000000"/>
          <w:position w:val="-12"/>
        </w:rPr>
        <w:object w:dxaOrig="2439" w:dyaOrig="360" w14:anchorId="2FFA77C7">
          <v:shape id="_x0000_i1027" type="#_x0000_t75" style="width:122.25pt;height:18.75pt" o:ole="">
            <v:imagedata r:id="rId18" o:title=""/>
          </v:shape>
          <o:OLEObject Type="Embed" ProgID="Equation.3" ShapeID="_x0000_i1027" DrawAspect="Content" ObjectID="_1580280382" r:id="rId19"/>
        </w:object>
      </w:r>
      <w:r w:rsidRPr="0048482F">
        <w:rPr>
          <w:color w:val="000000"/>
        </w:rPr>
        <w:t>.</w:t>
      </w:r>
    </w:p>
    <w:p w14:paraId="7D615F58" w14:textId="191B0C12" w:rsidR="000403A0" w:rsidRPr="0048482F" w:rsidRDefault="000403A0" w:rsidP="000403A0">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is set to ‘ON’, the higher-layer parameter </w:t>
      </w:r>
      <w:r w:rsidRPr="0048482F">
        <w:rPr>
          <w:i/>
          <w:color w:val="000000"/>
        </w:rPr>
        <w:t>pdsch-BundleSize</w:t>
      </w:r>
      <w:r w:rsidRPr="0048482F">
        <w:rPr>
          <w:color w:val="000000"/>
        </w:rPr>
        <w:t xml:space="preserve"> configures two sets of PRG values, the first set includes one or two PRG values among {2,4, scheduled bandwidth}</w:t>
      </w:r>
      <w:r w:rsidR="000E0472">
        <w:rPr>
          <w:color w:val="000000"/>
        </w:rPr>
        <w:t xml:space="preserve"> in frequency domain and one PRG value from {1,..,</w:t>
      </w:r>
      <w:r w:rsidRPr="0048482F">
        <w:rPr>
          <w:color w:val="000000"/>
        </w:rPr>
        <w:t>,</w:t>
      </w:r>
      <w:r w:rsidR="000E0472" w:rsidRPr="000E0472">
        <w:rPr>
          <w:i/>
          <w:color w:val="000000"/>
        </w:rPr>
        <w:t xml:space="preserve"> </w:t>
      </w:r>
      <w:r w:rsidR="000E0472" w:rsidRPr="00C62C5E">
        <w:rPr>
          <w:i/>
          <w:color w:val="000000"/>
        </w:rPr>
        <w:t>aggregation-factor-DL</w:t>
      </w:r>
      <w:r w:rsidR="000E0472">
        <w:rPr>
          <w:i/>
          <w:color w:val="000000"/>
        </w:rPr>
        <w:t xml:space="preserve">} </w:t>
      </w:r>
      <w:r w:rsidR="000E0472">
        <w:rPr>
          <w:color w:val="000000"/>
        </w:rPr>
        <w:t>in time domain</w:t>
      </w:r>
      <w:r w:rsidRPr="0048482F">
        <w:rPr>
          <w:color w:val="000000"/>
        </w:rPr>
        <w:t xml:space="preserve"> and the second set includes one PRG value</w:t>
      </w:r>
      <w:r w:rsidR="000E0472">
        <w:rPr>
          <w:color w:val="000000"/>
        </w:rPr>
        <w:t xml:space="preserve"> in frequency and time domain respectively from the same set of values</w:t>
      </w:r>
      <w:r w:rsidRPr="0048482F">
        <w:rPr>
          <w:color w:val="000000"/>
        </w:rPr>
        <w:t xml:space="preserve">. </w:t>
      </w:r>
    </w:p>
    <w:p w14:paraId="1B93AC5B" w14:textId="06D48CCB" w:rsidR="000403A0" w:rsidRPr="0048482F" w:rsidRDefault="000403A0" w:rsidP="000403A0">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‘0’, the UE shall use the PRG value</w:t>
      </w:r>
      <w:r w:rsidR="000E0472">
        <w:t>s</w:t>
      </w:r>
      <w:r w:rsidRPr="0048482F">
        <w:t xml:space="preserve"> </w:t>
      </w:r>
      <w:r w:rsidR="000E0472">
        <w:t xml:space="preserve">for frequency and time respectively </w:t>
      </w:r>
      <w:r w:rsidRPr="0048482F">
        <w:t xml:space="preserve">from the second set of PRG values. </w:t>
      </w:r>
    </w:p>
    <w:p w14:paraId="0B47DC6E" w14:textId="46FF7D9C" w:rsidR="000403A0" w:rsidRPr="0048482F" w:rsidRDefault="000403A0" w:rsidP="000403A0">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‘1’ and one value </w:t>
      </w:r>
      <w:r w:rsidR="000E0472">
        <w:t xml:space="preserve">for frequency and time respectively </w:t>
      </w:r>
      <w:r w:rsidRPr="0048482F">
        <w:t>is configured for the first set of PRG values, the UE shall use th</w:t>
      </w:r>
      <w:r w:rsidR="000E0472">
        <w:t>ese</w:t>
      </w:r>
      <w:r w:rsidRPr="0048482F">
        <w:t xml:space="preserve"> PRG value</w:t>
      </w:r>
      <w:r w:rsidR="000E0472">
        <w:t>s</w:t>
      </w:r>
      <w:r w:rsidRPr="0048482F">
        <w:t xml:space="preserve">. </w:t>
      </w:r>
    </w:p>
    <w:p w14:paraId="5EE0125E" w14:textId="29ACC561" w:rsidR="000403A0" w:rsidRPr="0048482F" w:rsidRDefault="000403A0" w:rsidP="000403A0">
      <w:pPr>
        <w:pStyle w:val="B1"/>
      </w:pPr>
      <w:r>
        <w:t>-</w:t>
      </w:r>
      <w:r>
        <w:tab/>
      </w: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 is set to ‘1’ and two values are configured for the</w:t>
      </w:r>
      <w:r w:rsidR="000E0472">
        <w:t xml:space="preserve"> frequency in the</w:t>
      </w:r>
      <w:r w:rsidRPr="0048482F">
        <w:t xml:space="preserve"> first set of PRG values as (2, scheduled BW) or (4, scheduled BW), the PRG </w:t>
      </w:r>
      <w:r w:rsidR="000E0472">
        <w:t xml:space="preserve">in frequency </w:t>
      </w:r>
      <w:r w:rsidRPr="0048482F">
        <w:t>is determined based on the minimum number of contiguous scheduled PRBs as:</w:t>
      </w:r>
    </w:p>
    <w:p w14:paraId="552D9902" w14:textId="77777777" w:rsidR="000403A0" w:rsidRPr="0048482F" w:rsidRDefault="000403A0" w:rsidP="000403A0">
      <w:pPr>
        <w:pStyle w:val="B2"/>
      </w:pPr>
      <w:r>
        <w:rPr>
          <w:lang w:eastAsia="ko-KR"/>
        </w:rPr>
        <w:t>-</w:t>
      </w:r>
      <w:r>
        <w:rPr>
          <w:lang w:eastAsia="ko-KR"/>
        </w:rPr>
        <w:tab/>
      </w:r>
      <w:r w:rsidRPr="0048482F">
        <w:rPr>
          <w:lang w:eastAsia="ko-KR"/>
        </w:rPr>
        <w:t xml:space="preserve">The </w:t>
      </w:r>
      <w:r w:rsidRPr="0048482F">
        <w:rPr>
          <w:rFonts w:hint="eastAsia"/>
          <w:lang w:eastAsia="ko-KR"/>
        </w:rPr>
        <w:t>UE is not expected</w:t>
      </w:r>
      <w:r w:rsidRPr="0048482F">
        <w:rPr>
          <w:lang w:eastAsia="ko-KR"/>
        </w:rPr>
        <w:t xml:space="preserve"> to be configured with </w:t>
      </w:r>
      <w:r w:rsidRPr="0048482F">
        <w:rPr>
          <w:rFonts w:hint="eastAsia"/>
          <w:lang w:eastAsia="ko-KR"/>
        </w:rPr>
        <w:t>(2,</w:t>
      </w:r>
      <w:r w:rsidRPr="0048482F">
        <w:rPr>
          <w:lang w:eastAsia="ko-KR"/>
        </w:rPr>
        <w:t xml:space="preserve"> </w:t>
      </w:r>
      <w:r w:rsidRPr="0048482F">
        <w:rPr>
          <w:rFonts w:hint="eastAsia"/>
          <w:lang w:eastAsia="ko-KR"/>
        </w:rPr>
        <w:t>4)</w:t>
      </w:r>
      <w:r w:rsidRPr="0048482F">
        <w:rPr>
          <w:lang w:eastAsia="ko-KR"/>
        </w:rPr>
        <w:t>.</w:t>
      </w:r>
    </w:p>
    <w:p w14:paraId="5153BB0A" w14:textId="488EADAA" w:rsidR="000403A0" w:rsidRPr="0048482F" w:rsidRDefault="000403A0" w:rsidP="000403A0">
      <w:pPr>
        <w:pStyle w:val="B1"/>
      </w:pPr>
      <w:r>
        <w:t>-</w:t>
      </w:r>
      <w:r>
        <w:tab/>
      </w:r>
      <w:r w:rsidRPr="0048482F">
        <w:t xml:space="preserve">If the scheduled PRBs are contiguous and the size of the scheduled PRBs is larger than </w:t>
      </w:r>
      <w:r w:rsidRPr="0048482F">
        <w:rPr>
          <w:position w:val="-12"/>
        </w:rPr>
        <w:object w:dxaOrig="859" w:dyaOrig="360" w14:anchorId="36D1E21D">
          <v:shape id="_x0000_i1028" type="#_x0000_t75" style="width:42.75pt;height:18.75pt" o:ole="">
            <v:imagedata r:id="rId20" o:title=""/>
          </v:shape>
          <o:OLEObject Type="Embed" ProgID="Equation.3" ShapeID="_x0000_i1028" DrawAspect="Content" ObjectID="_1580280383" r:id="rId21"/>
        </w:object>
      </w:r>
      <w:r w:rsidRPr="0048482F">
        <w:rPr>
          <w:i/>
        </w:rPr>
        <w:t xml:space="preserve">, </w:t>
      </w:r>
      <w:r w:rsidRPr="0048482F">
        <w:t xml:space="preserve">the PRG </w:t>
      </w:r>
      <w:r w:rsidR="000E0472">
        <w:t xml:space="preserve">in frequency </w:t>
      </w:r>
      <w:r w:rsidRPr="0048482F">
        <w:t>is the same as the scheduled bandwidth, otherwise, the PRG</w:t>
      </w:r>
      <w:r w:rsidR="000E0472">
        <w:t xml:space="preserve"> in frequency</w:t>
      </w:r>
      <w:r w:rsidRPr="0048482F">
        <w:t xml:space="preserve"> is set to the remaining configured value of 2 or 4, respectively.</w:t>
      </w:r>
    </w:p>
    <w:p w14:paraId="143B5C42" w14:textId="09360D28" w:rsidR="000403A0" w:rsidRPr="0048482F" w:rsidRDefault="000403A0" w:rsidP="000403A0">
      <w:pPr>
        <w:rPr>
          <w:color w:val="000000"/>
        </w:rPr>
      </w:pPr>
      <w:r w:rsidRPr="0048482F">
        <w:rPr>
          <w:color w:val="000000"/>
        </w:rPr>
        <w:t xml:space="preserve">If the higher layer parameter </w:t>
      </w:r>
      <w:r w:rsidRPr="0048482F">
        <w:rPr>
          <w:i/>
          <w:color w:val="000000"/>
        </w:rPr>
        <w:t>prbBundling</w:t>
      </w:r>
      <w:r w:rsidRPr="0048482F">
        <w:rPr>
          <w:color w:val="000000"/>
        </w:rPr>
        <w:t xml:space="preserve"> is set to ‘OFF’, the PRG value</w:t>
      </w:r>
      <w:r w:rsidR="000E0472">
        <w:rPr>
          <w:color w:val="000000"/>
        </w:rPr>
        <w:t xml:space="preserve">s </w:t>
      </w:r>
      <w:r w:rsidR="000E0472">
        <w:t>for frequency and time respectively</w:t>
      </w:r>
      <w:r w:rsidRPr="0048482F">
        <w:rPr>
          <w:color w:val="000000"/>
        </w:rPr>
        <w:t xml:space="preserve"> </w:t>
      </w:r>
      <w:r w:rsidR="000E0472">
        <w:rPr>
          <w:color w:val="000000"/>
        </w:rPr>
        <w:t>are</w:t>
      </w:r>
      <w:r w:rsidRPr="0048482F">
        <w:rPr>
          <w:color w:val="000000"/>
        </w:rPr>
        <w:t xml:space="preserve"> configured by the higher-layer parameter </w:t>
      </w:r>
      <w:r w:rsidRPr="0048482F">
        <w:rPr>
          <w:i/>
          <w:color w:val="000000"/>
        </w:rPr>
        <w:t>pdschBundleSize</w:t>
      </w:r>
      <w:r w:rsidRPr="0048482F">
        <w:rPr>
          <w:color w:val="000000"/>
        </w:rPr>
        <w:t xml:space="preserve">. </w:t>
      </w:r>
    </w:p>
    <w:p w14:paraId="106BAB03" w14:textId="77777777" w:rsidR="00E472AC" w:rsidRDefault="000403A0" w:rsidP="000E0472">
      <w:pPr>
        <w:rPr>
          <w:color w:val="000000"/>
        </w:rPr>
      </w:pPr>
      <w:r w:rsidRPr="0048482F">
        <w:rPr>
          <w:color w:val="000000"/>
        </w:rPr>
        <w:t xml:space="preserve">When a UE is configured with RBG = 2, the UE is not expected to be configured with </w:t>
      </w:r>
      <w:r w:rsidRPr="0048482F">
        <w:rPr>
          <w:color w:val="000000"/>
          <w:position w:val="-10"/>
        </w:rPr>
        <w:object w:dxaOrig="560" w:dyaOrig="300" w14:anchorId="2CDC3DB1">
          <v:shape id="_x0000_i1029" type="#_x0000_t75" style="width:27.75pt;height:15pt" o:ole="">
            <v:imagedata r:id="rId14" o:title=""/>
          </v:shape>
          <o:OLEObject Type="Embed" ProgID="Equation.3" ShapeID="_x0000_i1029" DrawAspect="Content" ObjectID="_1580280384" r:id="rId22"/>
        </w:object>
      </w:r>
      <w:r w:rsidR="00E472AC">
        <w:rPr>
          <w:color w:val="000000"/>
        </w:rPr>
        <w:t>= 4</w:t>
      </w:r>
    </w:p>
    <w:p w14:paraId="7A3559C3" w14:textId="6237C41E" w:rsidR="000E0472" w:rsidRPr="00E472AC" w:rsidRDefault="000E0472" w:rsidP="000E0472">
      <w:pPr>
        <w:rPr>
          <w:color w:val="000000"/>
        </w:rPr>
      </w:pPr>
      <w:r w:rsidRPr="00354010">
        <w:rPr>
          <w:highlight w:val="yellow"/>
        </w:rPr>
        <w:lastRenderedPageBreak/>
        <w:t xml:space="preserve">&gt;&gt;&gt;&gt;&gt;&gt;&gt;&gt;&gt;&gt;&gt;&gt; </w:t>
      </w:r>
      <w:r>
        <w:rPr>
          <w:highlight w:val="yellow"/>
        </w:rPr>
        <w:t>End</w:t>
      </w:r>
      <w:r w:rsidRPr="00354010">
        <w:rPr>
          <w:highlight w:val="yellow"/>
        </w:rPr>
        <w:t xml:space="preserve"> text proposal &gt;&gt;&gt;&gt;&gt;&gt;&gt;&gt;&gt;&gt;&gt;&gt;</w:t>
      </w:r>
    </w:p>
    <w:p w14:paraId="6D7723AB" w14:textId="77777777" w:rsidR="00A201B9" w:rsidRDefault="00A201B9" w:rsidP="00DB7696">
      <w:pPr>
        <w:rPr>
          <w:color w:val="000000"/>
        </w:rPr>
      </w:pPr>
    </w:p>
    <w:p w14:paraId="539B3CD4" w14:textId="0EE0AE0A" w:rsidR="0030272D" w:rsidRDefault="0030272D" w:rsidP="00DB7696">
      <w:pPr>
        <w:rPr>
          <w:color w:val="000000"/>
        </w:rPr>
      </w:pPr>
    </w:p>
    <w:p w14:paraId="5C816908" w14:textId="77777777" w:rsidR="0030272D" w:rsidRDefault="0030272D" w:rsidP="00DB7696">
      <w:pPr>
        <w:rPr>
          <w:color w:val="000000"/>
        </w:rPr>
      </w:pPr>
    </w:p>
    <w:p w14:paraId="29060B50" w14:textId="15F5A7AE" w:rsidR="00B83B9B" w:rsidRDefault="00B83B9B" w:rsidP="00DB7696">
      <w:pPr>
        <w:rPr>
          <w:lang w:val="en-US"/>
        </w:rPr>
      </w:pPr>
    </w:p>
    <w:p w14:paraId="480BA536" w14:textId="77777777" w:rsidR="00B83B9B" w:rsidRPr="00B83B9B" w:rsidRDefault="00B83B9B" w:rsidP="00DB7696">
      <w:pPr>
        <w:rPr>
          <w:lang w:val="en-US"/>
        </w:rPr>
      </w:pPr>
    </w:p>
    <w:p w14:paraId="3BC9304B" w14:textId="658092BD" w:rsidR="003A7EF3" w:rsidRPr="00CE0424" w:rsidRDefault="003A7EF3">
      <w:pPr>
        <w:pStyle w:val="Reference"/>
        <w:numPr>
          <w:ilvl w:val="0"/>
          <w:numId w:val="0"/>
        </w:numPr>
      </w:pPr>
    </w:p>
    <w:sectPr w:rsidR="003A7EF3" w:rsidRPr="00CE0424"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40405" w14:textId="77777777" w:rsidR="00562B3D" w:rsidRDefault="00562B3D">
      <w:r>
        <w:separator/>
      </w:r>
    </w:p>
  </w:endnote>
  <w:endnote w:type="continuationSeparator" w:id="0">
    <w:p w14:paraId="44BE4071" w14:textId="77777777" w:rsidR="00562B3D" w:rsidRDefault="0056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BB71359" w:rsidR="00AC4658" w:rsidRDefault="00AC46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322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322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236FA" w14:textId="77777777" w:rsidR="00562B3D" w:rsidRDefault="00562B3D">
      <w:r>
        <w:separator/>
      </w:r>
    </w:p>
  </w:footnote>
  <w:footnote w:type="continuationSeparator" w:id="0">
    <w:p w14:paraId="01CC5DCD" w14:textId="77777777" w:rsidR="00562B3D" w:rsidRDefault="0056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AC4658" w:rsidRDefault="00AC46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27"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B5024FB"/>
    <w:multiLevelType w:val="hybridMultilevel"/>
    <w:tmpl w:val="F29CE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13"/>
  </w:num>
  <w:num w:numId="15">
    <w:abstractNumId w:val="14"/>
  </w:num>
  <w:num w:numId="16">
    <w:abstractNumId w:val="32"/>
  </w:num>
  <w:num w:numId="17">
    <w:abstractNumId w:val="26"/>
  </w:num>
  <w:num w:numId="18">
    <w:abstractNumId w:val="4"/>
  </w:num>
  <w:num w:numId="19">
    <w:abstractNumId w:val="30"/>
  </w:num>
  <w:num w:numId="20">
    <w:abstractNumId w:val="7"/>
  </w:num>
  <w:num w:numId="21">
    <w:abstractNumId w:val="24"/>
  </w:num>
  <w:num w:numId="22">
    <w:abstractNumId w:val="23"/>
  </w:num>
  <w:num w:numId="23">
    <w:abstractNumId w:val="9"/>
  </w:num>
  <w:num w:numId="24">
    <w:abstractNumId w:val="17"/>
  </w:num>
  <w:num w:numId="25">
    <w:abstractNumId w:val="29"/>
  </w:num>
  <w:num w:numId="26">
    <w:abstractNumId w:val="28"/>
  </w:num>
  <w:num w:numId="27">
    <w:abstractNumId w:val="27"/>
  </w:num>
  <w:num w:numId="28">
    <w:abstractNumId w:val="19"/>
  </w:num>
  <w:num w:numId="29">
    <w:abstractNumId w:val="5"/>
  </w:num>
  <w:num w:numId="30">
    <w:abstractNumId w:val="6"/>
  </w:num>
  <w:num w:numId="31">
    <w:abstractNumId w:val="8"/>
  </w:num>
  <w:num w:numId="32">
    <w:abstractNumId w:val="25"/>
  </w:num>
  <w:num w:numId="33">
    <w:abstractNumId w:val="33"/>
  </w:num>
  <w:num w:numId="3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1ECE"/>
    <w:rsid w:val="00002A37"/>
    <w:rsid w:val="00003F5E"/>
    <w:rsid w:val="00006446"/>
    <w:rsid w:val="00006512"/>
    <w:rsid w:val="00006896"/>
    <w:rsid w:val="00007CDC"/>
    <w:rsid w:val="00011B28"/>
    <w:rsid w:val="00015D15"/>
    <w:rsid w:val="00016613"/>
    <w:rsid w:val="00016F17"/>
    <w:rsid w:val="00017ECF"/>
    <w:rsid w:val="00021F7C"/>
    <w:rsid w:val="00022AD0"/>
    <w:rsid w:val="0002564D"/>
    <w:rsid w:val="00025ECA"/>
    <w:rsid w:val="00030B30"/>
    <w:rsid w:val="000325B8"/>
    <w:rsid w:val="00034C15"/>
    <w:rsid w:val="00035802"/>
    <w:rsid w:val="00036BA1"/>
    <w:rsid w:val="000403A0"/>
    <w:rsid w:val="00040596"/>
    <w:rsid w:val="00042009"/>
    <w:rsid w:val="000422E2"/>
    <w:rsid w:val="00042754"/>
    <w:rsid w:val="00042F22"/>
    <w:rsid w:val="000444EF"/>
    <w:rsid w:val="000520AF"/>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C165A"/>
    <w:rsid w:val="000C1AEB"/>
    <w:rsid w:val="000C25AD"/>
    <w:rsid w:val="000C2E19"/>
    <w:rsid w:val="000C4C24"/>
    <w:rsid w:val="000D0D07"/>
    <w:rsid w:val="000D1880"/>
    <w:rsid w:val="000D4797"/>
    <w:rsid w:val="000E0472"/>
    <w:rsid w:val="000E0527"/>
    <w:rsid w:val="000E1E92"/>
    <w:rsid w:val="000E77B8"/>
    <w:rsid w:val="000F06D6"/>
    <w:rsid w:val="000F0EB1"/>
    <w:rsid w:val="000F1106"/>
    <w:rsid w:val="000F3BE9"/>
    <w:rsid w:val="000F3F6C"/>
    <w:rsid w:val="000F47C6"/>
    <w:rsid w:val="000F600C"/>
    <w:rsid w:val="000F6DF3"/>
    <w:rsid w:val="001005FF"/>
    <w:rsid w:val="0010488A"/>
    <w:rsid w:val="001062FB"/>
    <w:rsid w:val="001063E6"/>
    <w:rsid w:val="001118A8"/>
    <w:rsid w:val="00113CF4"/>
    <w:rsid w:val="001153EA"/>
    <w:rsid w:val="00115643"/>
    <w:rsid w:val="00116765"/>
    <w:rsid w:val="001170AB"/>
    <w:rsid w:val="001219F5"/>
    <w:rsid w:val="00121A20"/>
    <w:rsid w:val="0012377F"/>
    <w:rsid w:val="00124314"/>
    <w:rsid w:val="00126B27"/>
    <w:rsid w:val="00126B4A"/>
    <w:rsid w:val="00127A16"/>
    <w:rsid w:val="00132FD0"/>
    <w:rsid w:val="001343DB"/>
    <w:rsid w:val="001344C0"/>
    <w:rsid w:val="001346FA"/>
    <w:rsid w:val="00135252"/>
    <w:rsid w:val="00137AB5"/>
    <w:rsid w:val="00137F0B"/>
    <w:rsid w:val="00140153"/>
    <w:rsid w:val="001425D4"/>
    <w:rsid w:val="00142C7F"/>
    <w:rsid w:val="00142E84"/>
    <w:rsid w:val="00145654"/>
    <w:rsid w:val="00151E23"/>
    <w:rsid w:val="001526E0"/>
    <w:rsid w:val="0015373E"/>
    <w:rsid w:val="00154707"/>
    <w:rsid w:val="001551B5"/>
    <w:rsid w:val="00162F87"/>
    <w:rsid w:val="001659C1"/>
    <w:rsid w:val="0017041B"/>
    <w:rsid w:val="0017125A"/>
    <w:rsid w:val="00173A8E"/>
    <w:rsid w:val="001742B8"/>
    <w:rsid w:val="00175F81"/>
    <w:rsid w:val="00177B76"/>
    <w:rsid w:val="0018143F"/>
    <w:rsid w:val="00184B0A"/>
    <w:rsid w:val="00185587"/>
    <w:rsid w:val="00185834"/>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3FC0"/>
    <w:rsid w:val="001C6D57"/>
    <w:rsid w:val="001D4B47"/>
    <w:rsid w:val="001D51BA"/>
    <w:rsid w:val="001D56AE"/>
    <w:rsid w:val="001D6342"/>
    <w:rsid w:val="001D6D53"/>
    <w:rsid w:val="001E0DEF"/>
    <w:rsid w:val="001E2560"/>
    <w:rsid w:val="001E58E2"/>
    <w:rsid w:val="001E7AED"/>
    <w:rsid w:val="001F2DB2"/>
    <w:rsid w:val="001F36BE"/>
    <w:rsid w:val="001F3916"/>
    <w:rsid w:val="001F54C5"/>
    <w:rsid w:val="001F5D72"/>
    <w:rsid w:val="001F6214"/>
    <w:rsid w:val="001F662C"/>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207"/>
    <w:rsid w:val="002179E1"/>
    <w:rsid w:val="00220600"/>
    <w:rsid w:val="00220DD8"/>
    <w:rsid w:val="002224DB"/>
    <w:rsid w:val="00222D99"/>
    <w:rsid w:val="00223FCB"/>
    <w:rsid w:val="002252C3"/>
    <w:rsid w:val="00225C54"/>
    <w:rsid w:val="00230765"/>
    <w:rsid w:val="002319E4"/>
    <w:rsid w:val="00233A9F"/>
    <w:rsid w:val="00235632"/>
    <w:rsid w:val="00235872"/>
    <w:rsid w:val="00241559"/>
    <w:rsid w:val="002435B3"/>
    <w:rsid w:val="002451ED"/>
    <w:rsid w:val="002458EB"/>
    <w:rsid w:val="002465C9"/>
    <w:rsid w:val="00247E38"/>
    <w:rsid w:val="002500C8"/>
    <w:rsid w:val="00257543"/>
    <w:rsid w:val="002611E7"/>
    <w:rsid w:val="002617E7"/>
    <w:rsid w:val="00264228"/>
    <w:rsid w:val="00264334"/>
    <w:rsid w:val="0026473E"/>
    <w:rsid w:val="002650C6"/>
    <w:rsid w:val="00266214"/>
    <w:rsid w:val="00267C83"/>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322A"/>
    <w:rsid w:val="00296227"/>
    <w:rsid w:val="00296F44"/>
    <w:rsid w:val="0029777D"/>
    <w:rsid w:val="002A055E"/>
    <w:rsid w:val="002A1D4E"/>
    <w:rsid w:val="002A2869"/>
    <w:rsid w:val="002A4F9F"/>
    <w:rsid w:val="002B1994"/>
    <w:rsid w:val="002B1A1F"/>
    <w:rsid w:val="002B24D6"/>
    <w:rsid w:val="002B6176"/>
    <w:rsid w:val="002C0280"/>
    <w:rsid w:val="002C0B86"/>
    <w:rsid w:val="002C1610"/>
    <w:rsid w:val="002C41E6"/>
    <w:rsid w:val="002C4CEA"/>
    <w:rsid w:val="002D071A"/>
    <w:rsid w:val="002D34B2"/>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272D"/>
    <w:rsid w:val="0030501F"/>
    <w:rsid w:val="00307BA1"/>
    <w:rsid w:val="003108CC"/>
    <w:rsid w:val="00310DE0"/>
    <w:rsid w:val="00311702"/>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4E4"/>
    <w:rsid w:val="003477B1"/>
    <w:rsid w:val="00356A14"/>
    <w:rsid w:val="00357380"/>
    <w:rsid w:val="003602D9"/>
    <w:rsid w:val="003604CE"/>
    <w:rsid w:val="0036056F"/>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161"/>
    <w:rsid w:val="003A2223"/>
    <w:rsid w:val="003A246A"/>
    <w:rsid w:val="003A26C7"/>
    <w:rsid w:val="003A2A0F"/>
    <w:rsid w:val="003A45A1"/>
    <w:rsid w:val="003A4A33"/>
    <w:rsid w:val="003A5B0A"/>
    <w:rsid w:val="003A6BAC"/>
    <w:rsid w:val="003A7EF3"/>
    <w:rsid w:val="003B159C"/>
    <w:rsid w:val="003B2549"/>
    <w:rsid w:val="003B369F"/>
    <w:rsid w:val="003B36A3"/>
    <w:rsid w:val="003B7FE5"/>
    <w:rsid w:val="003C11C8"/>
    <w:rsid w:val="003C2702"/>
    <w:rsid w:val="003C2945"/>
    <w:rsid w:val="003C3069"/>
    <w:rsid w:val="003C4F2A"/>
    <w:rsid w:val="003C7806"/>
    <w:rsid w:val="003D064E"/>
    <w:rsid w:val="003D109F"/>
    <w:rsid w:val="003D2275"/>
    <w:rsid w:val="003D2478"/>
    <w:rsid w:val="003D3C45"/>
    <w:rsid w:val="003D3E76"/>
    <w:rsid w:val="003D5B1F"/>
    <w:rsid w:val="003E15FA"/>
    <w:rsid w:val="003E55E4"/>
    <w:rsid w:val="003E74E3"/>
    <w:rsid w:val="003E7670"/>
    <w:rsid w:val="003F05C7"/>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17AA"/>
    <w:rsid w:val="00452CAC"/>
    <w:rsid w:val="00453967"/>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B306B"/>
    <w:rsid w:val="004B7C0C"/>
    <w:rsid w:val="004C3898"/>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3E26"/>
    <w:rsid w:val="00534755"/>
    <w:rsid w:val="00534B59"/>
    <w:rsid w:val="00534E6D"/>
    <w:rsid w:val="00536759"/>
    <w:rsid w:val="00537C62"/>
    <w:rsid w:val="0054282F"/>
    <w:rsid w:val="00546774"/>
    <w:rsid w:val="00546970"/>
    <w:rsid w:val="00554192"/>
    <w:rsid w:val="00554D21"/>
    <w:rsid w:val="00554E19"/>
    <w:rsid w:val="00555386"/>
    <w:rsid w:val="0056121F"/>
    <w:rsid w:val="00562B3D"/>
    <w:rsid w:val="00565404"/>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602"/>
    <w:rsid w:val="005D1746"/>
    <w:rsid w:val="005D321A"/>
    <w:rsid w:val="005D5882"/>
    <w:rsid w:val="005E385F"/>
    <w:rsid w:val="005E5B81"/>
    <w:rsid w:val="005F2CB1"/>
    <w:rsid w:val="005F3025"/>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663A"/>
    <w:rsid w:val="00726EA6"/>
    <w:rsid w:val="00727208"/>
    <w:rsid w:val="00727680"/>
    <w:rsid w:val="007320B8"/>
    <w:rsid w:val="007348B1"/>
    <w:rsid w:val="00734AAF"/>
    <w:rsid w:val="00735F4D"/>
    <w:rsid w:val="007362A6"/>
    <w:rsid w:val="00736D7D"/>
    <w:rsid w:val="00737FB0"/>
    <w:rsid w:val="00740E58"/>
    <w:rsid w:val="00742802"/>
    <w:rsid w:val="0074315E"/>
    <w:rsid w:val="0074459E"/>
    <w:rsid w:val="007445A0"/>
    <w:rsid w:val="0074524B"/>
    <w:rsid w:val="00747D8B"/>
    <w:rsid w:val="00751228"/>
    <w:rsid w:val="00753486"/>
    <w:rsid w:val="007550B2"/>
    <w:rsid w:val="007571E1"/>
    <w:rsid w:val="007604B2"/>
    <w:rsid w:val="00761B49"/>
    <w:rsid w:val="0076299E"/>
    <w:rsid w:val="00763983"/>
    <w:rsid w:val="00764180"/>
    <w:rsid w:val="00765281"/>
    <w:rsid w:val="00766595"/>
    <w:rsid w:val="007666E8"/>
    <w:rsid w:val="00766BAD"/>
    <w:rsid w:val="0076732C"/>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7163"/>
    <w:rsid w:val="007D7526"/>
    <w:rsid w:val="007D7BC4"/>
    <w:rsid w:val="007E0479"/>
    <w:rsid w:val="007E4610"/>
    <w:rsid w:val="007E4715"/>
    <w:rsid w:val="007E4B43"/>
    <w:rsid w:val="007E505B"/>
    <w:rsid w:val="007E7091"/>
    <w:rsid w:val="007F0677"/>
    <w:rsid w:val="007F072E"/>
    <w:rsid w:val="007F13C4"/>
    <w:rsid w:val="007F75D5"/>
    <w:rsid w:val="00803FAE"/>
    <w:rsid w:val="008054E8"/>
    <w:rsid w:val="00805AB5"/>
    <w:rsid w:val="0080605F"/>
    <w:rsid w:val="00806EE7"/>
    <w:rsid w:val="00807786"/>
    <w:rsid w:val="00810A3F"/>
    <w:rsid w:val="008112E8"/>
    <w:rsid w:val="00811B55"/>
    <w:rsid w:val="00811FCB"/>
    <w:rsid w:val="00814DF6"/>
    <w:rsid w:val="008158D6"/>
    <w:rsid w:val="00817196"/>
    <w:rsid w:val="008235DB"/>
    <w:rsid w:val="00824AB4"/>
    <w:rsid w:val="00825C42"/>
    <w:rsid w:val="00825D25"/>
    <w:rsid w:val="00827D6F"/>
    <w:rsid w:val="00834689"/>
    <w:rsid w:val="008376AC"/>
    <w:rsid w:val="008403CE"/>
    <w:rsid w:val="00842EA5"/>
    <w:rsid w:val="008444E8"/>
    <w:rsid w:val="00844E80"/>
    <w:rsid w:val="00846FE7"/>
    <w:rsid w:val="00851E0B"/>
    <w:rsid w:val="00852BBD"/>
    <w:rsid w:val="00854E76"/>
    <w:rsid w:val="00856911"/>
    <w:rsid w:val="00856AAA"/>
    <w:rsid w:val="00856E89"/>
    <w:rsid w:val="00862B39"/>
    <w:rsid w:val="00865E18"/>
    <w:rsid w:val="00866BC0"/>
    <w:rsid w:val="008671BE"/>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A8"/>
    <w:rsid w:val="008A54C7"/>
    <w:rsid w:val="008A77D8"/>
    <w:rsid w:val="008B0483"/>
    <w:rsid w:val="008B120C"/>
    <w:rsid w:val="008B4AE9"/>
    <w:rsid w:val="008B51A0"/>
    <w:rsid w:val="008B5268"/>
    <w:rsid w:val="008B592A"/>
    <w:rsid w:val="008B7B5C"/>
    <w:rsid w:val="008C0AD7"/>
    <w:rsid w:val="008C0C99"/>
    <w:rsid w:val="008C2017"/>
    <w:rsid w:val="008C2913"/>
    <w:rsid w:val="008C4958"/>
    <w:rsid w:val="008C4BAA"/>
    <w:rsid w:val="008C5641"/>
    <w:rsid w:val="008C6AE8"/>
    <w:rsid w:val="008C7573"/>
    <w:rsid w:val="008D10E2"/>
    <w:rsid w:val="008D34F1"/>
    <w:rsid w:val="008D39D8"/>
    <w:rsid w:val="008D6D1A"/>
    <w:rsid w:val="008E065E"/>
    <w:rsid w:val="008E0927"/>
    <w:rsid w:val="008E09D0"/>
    <w:rsid w:val="008E1909"/>
    <w:rsid w:val="008E5CFD"/>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736"/>
    <w:rsid w:val="00910B7D"/>
    <w:rsid w:val="00911DFB"/>
    <w:rsid w:val="009139D9"/>
    <w:rsid w:val="00914AD8"/>
    <w:rsid w:val="00916079"/>
    <w:rsid w:val="00916118"/>
    <w:rsid w:val="00917CE9"/>
    <w:rsid w:val="009208D7"/>
    <w:rsid w:val="00920BF2"/>
    <w:rsid w:val="00922010"/>
    <w:rsid w:val="00923793"/>
    <w:rsid w:val="00930CC5"/>
    <w:rsid w:val="00931BD9"/>
    <w:rsid w:val="00931E21"/>
    <w:rsid w:val="00935739"/>
    <w:rsid w:val="009368F3"/>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FF0"/>
    <w:rsid w:val="009D703C"/>
    <w:rsid w:val="009D718F"/>
    <w:rsid w:val="009E068F"/>
    <w:rsid w:val="009E14E0"/>
    <w:rsid w:val="009E32D2"/>
    <w:rsid w:val="009E35DB"/>
    <w:rsid w:val="009E47A3"/>
    <w:rsid w:val="009E581A"/>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F63"/>
    <w:rsid w:val="00A201B9"/>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1B99"/>
    <w:rsid w:val="00A734C7"/>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9B2"/>
    <w:rsid w:val="00B01EA9"/>
    <w:rsid w:val="00B02AA9"/>
    <w:rsid w:val="00B02FA3"/>
    <w:rsid w:val="00B03374"/>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9D8"/>
    <w:rsid w:val="00B81A6C"/>
    <w:rsid w:val="00B83B9B"/>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79B5"/>
    <w:rsid w:val="00C27C45"/>
    <w:rsid w:val="00C33B33"/>
    <w:rsid w:val="00C3719D"/>
    <w:rsid w:val="00C4445A"/>
    <w:rsid w:val="00C4762D"/>
    <w:rsid w:val="00C47FAC"/>
    <w:rsid w:val="00C54995"/>
    <w:rsid w:val="00C54D41"/>
    <w:rsid w:val="00C60783"/>
    <w:rsid w:val="00C64644"/>
    <w:rsid w:val="00C64672"/>
    <w:rsid w:val="00C64B37"/>
    <w:rsid w:val="00C70697"/>
    <w:rsid w:val="00C71F71"/>
    <w:rsid w:val="00C72EF4"/>
    <w:rsid w:val="00C73202"/>
    <w:rsid w:val="00C73FA8"/>
    <w:rsid w:val="00C75D2F"/>
    <w:rsid w:val="00C75E8F"/>
    <w:rsid w:val="00C767BE"/>
    <w:rsid w:val="00C76E3C"/>
    <w:rsid w:val="00C80DD7"/>
    <w:rsid w:val="00C81568"/>
    <w:rsid w:val="00C84A6E"/>
    <w:rsid w:val="00C87E79"/>
    <w:rsid w:val="00C9027A"/>
    <w:rsid w:val="00C9058E"/>
    <w:rsid w:val="00C9068E"/>
    <w:rsid w:val="00C91CE5"/>
    <w:rsid w:val="00C92663"/>
    <w:rsid w:val="00C933DA"/>
    <w:rsid w:val="00C93ABF"/>
    <w:rsid w:val="00C93C4B"/>
    <w:rsid w:val="00C944AB"/>
    <w:rsid w:val="00C95B40"/>
    <w:rsid w:val="00C961F0"/>
    <w:rsid w:val="00C97E62"/>
    <w:rsid w:val="00CA1068"/>
    <w:rsid w:val="00CA11E6"/>
    <w:rsid w:val="00CA1ED8"/>
    <w:rsid w:val="00CA2417"/>
    <w:rsid w:val="00CB1945"/>
    <w:rsid w:val="00CB1E33"/>
    <w:rsid w:val="00CB1F63"/>
    <w:rsid w:val="00CB5842"/>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5760"/>
    <w:rsid w:val="00CE7561"/>
    <w:rsid w:val="00CF1354"/>
    <w:rsid w:val="00CF3154"/>
    <w:rsid w:val="00CF3B1F"/>
    <w:rsid w:val="00CF3BF6"/>
    <w:rsid w:val="00CF625B"/>
    <w:rsid w:val="00CF687E"/>
    <w:rsid w:val="00CF74E2"/>
    <w:rsid w:val="00D030F3"/>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CA"/>
    <w:rsid w:val="00D57C7D"/>
    <w:rsid w:val="00D61AF5"/>
    <w:rsid w:val="00D6264C"/>
    <w:rsid w:val="00D62725"/>
    <w:rsid w:val="00D63449"/>
    <w:rsid w:val="00D641A6"/>
    <w:rsid w:val="00D642CA"/>
    <w:rsid w:val="00D652B5"/>
    <w:rsid w:val="00D66155"/>
    <w:rsid w:val="00D67D01"/>
    <w:rsid w:val="00D708B0"/>
    <w:rsid w:val="00D718DE"/>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377D"/>
    <w:rsid w:val="00DB7696"/>
    <w:rsid w:val="00DC2D36"/>
    <w:rsid w:val="00DC53CC"/>
    <w:rsid w:val="00DC53EF"/>
    <w:rsid w:val="00DE394D"/>
    <w:rsid w:val="00DE5608"/>
    <w:rsid w:val="00DE58D0"/>
    <w:rsid w:val="00DE654F"/>
    <w:rsid w:val="00DF0B6E"/>
    <w:rsid w:val="00DF15E0"/>
    <w:rsid w:val="00DF28E5"/>
    <w:rsid w:val="00DF37A0"/>
    <w:rsid w:val="00DF4D3E"/>
    <w:rsid w:val="00DF6E1C"/>
    <w:rsid w:val="00E02C39"/>
    <w:rsid w:val="00E1043D"/>
    <w:rsid w:val="00E110E7"/>
    <w:rsid w:val="00E11B20"/>
    <w:rsid w:val="00E125FC"/>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2AC"/>
    <w:rsid w:val="00E47AEF"/>
    <w:rsid w:val="00E51519"/>
    <w:rsid w:val="00E53B75"/>
    <w:rsid w:val="00E5400A"/>
    <w:rsid w:val="00E544E8"/>
    <w:rsid w:val="00E54E3B"/>
    <w:rsid w:val="00E5689D"/>
    <w:rsid w:val="00E57565"/>
    <w:rsid w:val="00E576EF"/>
    <w:rsid w:val="00E63838"/>
    <w:rsid w:val="00E63D05"/>
    <w:rsid w:val="00E64434"/>
    <w:rsid w:val="00E64B80"/>
    <w:rsid w:val="00E67C51"/>
    <w:rsid w:val="00E707F9"/>
    <w:rsid w:val="00E72EFC"/>
    <w:rsid w:val="00E758EC"/>
    <w:rsid w:val="00E76E65"/>
    <w:rsid w:val="00E77F4A"/>
    <w:rsid w:val="00E80B4C"/>
    <w:rsid w:val="00E8234C"/>
    <w:rsid w:val="00E83999"/>
    <w:rsid w:val="00E83AA9"/>
    <w:rsid w:val="00E85928"/>
    <w:rsid w:val="00E87822"/>
    <w:rsid w:val="00E90395"/>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C27C6"/>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27658"/>
    <w:rsid w:val="00F30828"/>
    <w:rsid w:val="00F313D6"/>
    <w:rsid w:val="00F32F2E"/>
    <w:rsid w:val="00F35EF1"/>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4853"/>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0EC0"/>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rsid w:val="002611E7"/>
    <w:pPr>
      <w:spacing w:after="180"/>
      <w:jc w:val="left"/>
    </w:pPr>
    <w:rPr>
      <w:lang w:eastAsia="en-US"/>
    </w:rPr>
  </w:style>
  <w:style w:type="paragraph" w:customStyle="1" w:styleId="B2">
    <w:name w:val="B2"/>
    <w:basedOn w:val="List2"/>
    <w:link w:val="B2Char"/>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9374817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37553517">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09F25487-D112-4B5D-9818-4457002A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3</Pages>
  <Words>873</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2018-02-16T09:00:00Z</dcterms:created>
  <dcterms:modified xsi:type="dcterms:W3CDTF">2018-02-16T09:00:00Z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